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des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8</w:t>
      </w:r>
      <w:r>
        <w:rPr>
          <w:b/>
          <w:bCs/>
          <w:sz w:val="28"/>
          <w:szCs w:val="28"/>
        </w:rPr>
        <w:t> :</w:t>
      </w:r>
      <w:r>
        <w:rPr>
          <w:rFonts w:eastAsia="Times New Roman" w:cs="Times New Roman"/>
          <w:b/>
          <w:bCs/>
          <w:color w:val="auto"/>
          <w:kern w:val="0"/>
          <w:sz w:val="28"/>
          <w:szCs w:val="28"/>
          <w:u w:val="single"/>
          <w:lang w:val="fr-FR" w:eastAsia="fr-FR" w:bidi="ar-SA"/>
        </w:rPr>
        <w:t xml:space="preserve"> Géolocalisation des réseaux enterrés</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sz w:val="22"/>
          <w:szCs w:val="22"/>
        </w:rPr>
      </w:r>
    </w:p>
    <w:p>
      <w:pPr>
        <w:pStyle w:val="Titre1"/>
        <w:numPr>
          <w:ilvl w:val="0"/>
          <w:numId w:val="0"/>
        </w:numPr>
        <w:ind w:left="360" w:hanging="0"/>
        <w:rPr/>
      </w:pPr>
      <w:r>
        <w:rPr>
          <w:rStyle w:val="SoustitreCar"/>
          <w:rFonts w:eastAsia="" w:eastAsiaTheme="majorEastAsia"/>
          <w:b/>
          <w:color w:val="000000"/>
          <w:sz w:val="24"/>
          <w:szCs w:val="32"/>
        </w:rPr>
        <w:t>Valeur technique (noté sur 50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(39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xml:space="preserve">1/ </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Géolocalisation des réseaux enterrés : Prestations générales (10 pts)</w:t>
            </w:r>
          </w:p>
          <w:p>
            <w:pPr>
              <w:pStyle w:val="Normal"/>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color w:val="000000"/>
                <w:kern w:val="2"/>
                <w:sz w:val="22"/>
                <w:szCs w:val="22"/>
                <w:shd w:fill="729FCF" w:val="clear"/>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le mode opératoire envisagé pour la géolocalisation des réseaux enterrés en tenant compte des éléments suivants :</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Ouverture administrative du dossier et analyse des documents transmis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Reconnaissance de l’intervention par une visite sur site si nécessaire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Recueil et analyse des DT</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Demandes d’arrêtés et d’autorisations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Sécurisation du chantier</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Adaptation de l’organisation en fonction du trafic</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Le mode opératoire pour la réalisation d’une intervention de nuit</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Les d</w:t>
            </w: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élais envisagés pour chaque étape de la prestation</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Géolocalisation des réseaux enterrés</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Consistance des prestations (10 pts)</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Détaillez les modes opératoires envisagés pour la réalisation des prestations en tenant compte des éléments suivants</w:t>
            </w:r>
            <w:r>
              <w:rPr>
                <w:rFonts w:eastAsia="Calibri" w:cs="Calibri"/>
                <w:b w:val="false"/>
                <w:i w:val="false"/>
                <w:strike w:val="false"/>
                <w:dstrike w:val="false"/>
                <w:outline w:val="false"/>
                <w:shadow w:val="false"/>
                <w:color w:val="000000"/>
                <w:kern w:val="2"/>
                <w:sz w:val="22"/>
                <w:szCs w:val="22"/>
                <w:u w:val="none"/>
                <w:em w:val="none"/>
                <w:lang w:val="fr-FR" w:eastAsia="en-US" w:bidi="en-US"/>
              </w:rPr>
              <w:t> :</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La réalisation de la géolocalisation des réseaux enterrés ainsi que le levé topographique des marquages effectués</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highlight w:val="none"/>
                <w:u w:val="none"/>
                <w:shd w:fill="auto" w:val="clear"/>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L'adaptation du matériel en fonction des observations terrain et du type de réseaux à géolocaliser</w:t>
            </w:r>
          </w:p>
          <w:p>
            <w:pPr>
              <w:pStyle w:val="Normal"/>
              <w:widowControl w:val="false"/>
              <w:bidi w:val="0"/>
              <w:jc w:val="left"/>
              <w:rPr>
                <w:rFonts w:ascii="Arial" w:hAnsi="Arial"/>
                <w:sz w:val="22"/>
                <w:szCs w:val="22"/>
              </w:rPr>
            </w:pP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 L'organisation prévue pour la réalisation du fichier dwg conformément à la charte graphique de Saint-Brieuc Armor Agglomération ainsi que les autocontrôles envisagés</w:t>
            </w:r>
          </w:p>
          <w:p>
            <w:pPr>
              <w:pStyle w:val="Normal"/>
              <w:widowControl w:val="false"/>
              <w:bidi w:val="0"/>
              <w:jc w:val="left"/>
              <w:rPr>
                <w:rFonts w:ascii="Arial" w:hAnsi="Arial"/>
                <w:sz w:val="22"/>
                <w:szCs w:val="22"/>
              </w:rPr>
            </w:pPr>
            <w:r>
              <w:rPr>
                <w:sz w:val="22"/>
                <w:szCs w:val="22"/>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3/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Géolocalisation des réseaux enterrés</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Livrables remis et rapport d</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’intervention (19 pts)</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dont notamment (4 pts):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 modèle type du rapport d'intervention</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sz w:val="22"/>
                <w:szCs w:val="22"/>
                <w:highlight w:val="none"/>
                <w:u w:val="none"/>
                <w:shd w:fill="FFFF00" w:val="clear"/>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FFFF00" w:val="clear"/>
                <w:em w:val="none"/>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3/b</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Cas pratique :  - Mise en forme d'un fichier dwg type conforme à la charte graphique de SBAA (15 pts)</w:t>
            </w:r>
          </w:p>
          <w:p>
            <w:pPr>
              <w:pStyle w:val="Normal"/>
              <w:widowControl w:val="false"/>
              <w:bidi w:val="0"/>
              <w:jc w:val="left"/>
              <w:rPr>
                <w:rFonts w:ascii="Arial" w:hAnsi="Arial"/>
                <w:sz w:val="22"/>
                <w:szCs w:val="22"/>
                <w:highlight w:val="none"/>
                <w:shd w:fill="auto" w:val="clear"/>
              </w:rPr>
            </w:pPr>
            <w:r>
              <w:rPr>
                <w:sz w:val="22"/>
                <w:szCs w:val="22"/>
                <w:shd w:fill="auto" w:val="clear"/>
              </w:rPr>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-Vous disposez d’un fichier DWG "Fichier de base.dwg", qui « correspond » à votre « levé terrain théorique »</w:t>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-Vous disposez également d’un fichier pdf "Fichier guide.pdf", précisant les réseaux détectés ou relevés, avec la charge (en rouge) à chaque point topo, ainsi qu’un petit cercle violet indiquant le centre d’un ouvrage (regard, chambre, vannes, bacs…ou une arrivée en chute dans un réseau gravitaire). Ce fichier fait apparaitre des tracés de réseaux en noir, non conforme au CCTP, qu'il conviendra de convertir.</w:t>
            </w:r>
          </w:p>
          <w:p>
            <w:pPr>
              <w:pStyle w:val="Normal"/>
              <w:widowControl w:val="false"/>
              <w:rPr>
                <w:rFonts w:ascii="Arial" w:hAnsi="Arial"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A partir de ces 2 fichiers, un fichier DWG, créé à partir du fichier nommé "Fichier de base.dwg", sera à remettre dans l'offre.</w:t>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Il sera donc nécessaire d’utiliser tous les éléments présents sur les fichiers DWG et pdf.</w:t>
            </w:r>
          </w:p>
          <w:p>
            <w:pPr>
              <w:pStyle w:val="Normal"/>
              <w:widowControl w:val="false"/>
              <w:rPr>
                <w:rFonts w:eastAsia="Calibri" w:cs="Calibri"/>
                <w:color w:val="000000"/>
                <w:kern w:val="2"/>
                <w:sz w:val="22"/>
                <w:szCs w:val="22"/>
                <w:highlight w:val="none"/>
                <w:shd w:fill="auto" w:val="clear"/>
                <w:lang w:val="fr-FR" w:eastAsia="en-US" w:bidi="en-US"/>
              </w:rPr>
            </w:pPr>
            <w:r>
              <w:rPr>
                <w:rFonts w:eastAsia="Calibri" w:cs="Calibri"/>
                <w:color w:val="000000"/>
                <w:kern w:val="2"/>
                <w:sz w:val="22"/>
                <w:szCs w:val="22"/>
                <w:shd w:fill="auto" w:val="clear"/>
                <w:lang w:val="fr-FR" w:eastAsia="en-US" w:bidi="en-US"/>
              </w:rPr>
              <w:t>Le cartouche devra également être renseigné.</w:t>
            </w:r>
          </w:p>
          <w:p>
            <w:pPr>
              <w:pStyle w:val="Normal"/>
              <w:widowControl w:val="false"/>
              <w:jc w:val="both"/>
              <w:rPr>
                <w:rFonts w:ascii="Arial" w:hAnsi="Arial"/>
                <w:color w:val="000000"/>
                <w:sz w:val="22"/>
                <w:szCs w:val="22"/>
                <w:highlight w:val="none"/>
                <w:shd w:fill="auto" w:val="clear"/>
              </w:rPr>
            </w:pPr>
            <w:r>
              <w:rPr>
                <w:color w:val="000000"/>
                <w:sz w:val="22"/>
                <w:szCs w:val="22"/>
                <w:shd w:fill="auto" w:val="clear"/>
              </w:rPr>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A travers la réponse au cas pratique ci-dessus, l’acheteur évaluera la qualité du livrable dwg proposée, ainsi que sa cohérence, à partir du respect des éléments du CCTP et de ces annexes.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L'évaluation portera sur :</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calques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typologies de symboles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symboles de blocs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types de lignes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couleurs des éléments précités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 la topologie des tracés de réseaux</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respect des renseignements attributaires</w:t>
            </w:r>
          </w:p>
          <w:p>
            <w:pPr>
              <w:pStyle w:val="Normal"/>
              <w:widowControl w:val="false"/>
              <w:bidi w:val="0"/>
              <w:jc w:val="left"/>
              <w:rPr>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renseignement du cartouche</w:t>
            </w:r>
          </w:p>
          <w:p>
            <w:pPr>
              <w:pStyle w:val="Normal"/>
              <w:widowControl w:val="false"/>
              <w:bidi w:val="0"/>
              <w:jc w:val="left"/>
              <w:rPr>
                <w:color w:val="000000"/>
                <w:highlight w:val="none"/>
                <w:shd w:fill="auto" w:val="clear"/>
              </w:rPr>
            </w:pP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xml:space="preserve"> </w:t>
            </w:r>
            <w:r>
              <w:rPr>
                <w:rFonts w:eastAsia="Calibri" w:cs="Calibri"/>
                <w:b w:val="false"/>
                <w:i w:val="false"/>
                <w:strike w:val="false"/>
                <w:dstrike w:val="false"/>
                <w:outline w:val="false"/>
                <w:shadow w:val="false"/>
                <w:color w:val="000000"/>
                <w:kern w:val="2"/>
                <w:sz w:val="22"/>
                <w:szCs w:val="22"/>
                <w:u w:val="none"/>
                <w:shd w:fill="auto" w:val="clear"/>
                <w:em w:val="none"/>
                <w:lang w:val="fr-FR" w:eastAsia="en-US" w:bidi="en-US"/>
              </w:rPr>
              <w:t>- Le géoréférencement du fichier</w:t>
            </w:r>
          </w:p>
          <w:p>
            <w:pPr>
              <w:pStyle w:val="Normal"/>
              <w:widowControl w:val="false"/>
              <w:bidi w:val="0"/>
              <w:jc w:val="left"/>
              <w:rPr>
                <w:rFonts w:ascii="Arial" w:hAnsi="Arial" w:eastAsia="Calibri" w:cs="Calibri"/>
                <w:b w:val="false"/>
                <w:b w:val="false"/>
                <w:i w:val="false"/>
                <w:i w:val="false"/>
                <w:strike w:val="false"/>
                <w:dstrike w:val="false"/>
                <w:outline w:val="false"/>
                <w:shadow w:val="false"/>
                <w:kern w:val="2"/>
                <w:sz w:val="22"/>
                <w:szCs w:val="22"/>
                <w:u w:val="none"/>
                <w:em w:val="none"/>
                <w:lang w:val="fr-FR" w:eastAsia="en-US" w:bidi="en-US"/>
              </w:rPr>
            </w:pPr>
            <w:r>
              <w:rPr>
                <w:rFonts w:eastAsia="Calibri" w:cs="Calibri"/>
                <w:b w:val="false"/>
                <w:i w:val="false"/>
                <w:strike w:val="false"/>
                <w:dstrike w:val="false"/>
                <w:outline w:val="false"/>
                <w:shadow w:val="false"/>
                <w:kern w:val="2"/>
                <w:sz w:val="22"/>
                <w:szCs w:val="22"/>
                <w:u w:val="none"/>
                <w:em w:val="none"/>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(4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w:t>
            </w:r>
          </w:p>
          <w:p>
            <w:pPr>
              <w:pStyle w:val="Contenudetableau"/>
              <w:widowControl w:val="false"/>
              <w:jc w:val="left"/>
              <w:rPr>
                <w:rFonts w:ascii="Arial" w:hAnsi="Arial"/>
                <w:color w:val="000000"/>
                <w:sz w:val="22"/>
                <w:szCs w:val="22"/>
              </w:rPr>
            </w:pPr>
            <w:r>
              <w:rPr>
                <w:color w:val="000000"/>
                <w:sz w:val="22"/>
                <w:szCs w:val="22"/>
              </w:rPr>
              <w:t>- Une facture type respectant le cadre de facturation (3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 (1 pt).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 (1pt).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(7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 (3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(4 pts) :</w:t>
              <w:br/>
              <w:t>- pour le suivi du contrat ;</w:t>
              <w:br/>
              <w:t>- à réception d’une commande ;</w:t>
              <w:br/>
              <w:t>- en cours d’exécution ;</w:t>
              <w:br/>
              <w:t>- pour l’admission des prestations ;</w:t>
              <w:br/>
              <w:t>- 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eastAsia="Times New Roman" w:cs="Times New Roman"/>
                <w:bCs/>
                <w:color w:val="auto"/>
                <w:kern w:val="0"/>
                <w:sz w:val="22"/>
                <w:szCs w:val="22"/>
                <w:lang w:val="fr-FR" w:eastAsia="fr-FR" w:bidi="ar-SA"/>
              </w:rPr>
            </w:pPr>
            <w:r>
              <w:rPr>
                <w:rFonts w:eastAsia="Times New Roman" w:cs="Times New Roman"/>
                <w:bCs/>
                <w:color w:val="auto"/>
                <w:kern w:val="0"/>
                <w:sz w:val="22"/>
                <w:szCs w:val="22"/>
                <w:lang w:val="fr-FR" w:eastAsia="fr-FR" w:bidi="ar-SA"/>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8</w:t>
      <w:tab/>
    </w:r>
    <w:r>
      <w:rPr>
        <w:b/>
      </w:rPr>
      <w:fldChar w:fldCharType="begin"/>
    </w:r>
    <w:r>
      <w:rPr>
        <w:b/>
      </w:rPr>
      <w:instrText> PAGE </w:instrText>
    </w:r>
    <w:r>
      <w:rPr>
        <w:b/>
      </w:rPr>
      <w:fldChar w:fldCharType="separate"/>
    </w:r>
    <w:r>
      <w:rPr>
        <w:b/>
      </w:rPr>
      <w:t>6</w:t>
    </w:r>
    <w:r>
      <w:rPr>
        <w:b/>
      </w:rPr>
      <w:fldChar w:fldCharType="end"/>
    </w:r>
    <w:r>
      <w:rPr/>
      <w:t xml:space="preserve"> sur </w:t>
    </w:r>
    <w:r>
      <w:rPr>
        <w:b/>
      </w:rPr>
      <w:fldChar w:fldCharType="begin"/>
    </w:r>
    <w:r>
      <w:rPr>
        <w:b/>
      </w:rPr>
      <w:instrText> NUMPAGES </w:instrText>
    </w:r>
    <w:r>
      <w:rPr>
        <w:b/>
      </w:rPr>
      <w:fldChar w:fldCharType="separate"/>
    </w:r>
    <w:r>
      <w:rPr>
        <w:b/>
      </w:rPr>
      <w:t>6</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5162</TotalTime>
  <Application>LibreOffice/7.2.6.2$Windows_X86_64 LibreOffice_project/b0ec3a565991f7569a5a7f5d24fed7f52653d754</Application>
  <AppVersion>15.0000</AppVersion>
  <Pages>6</Pages>
  <Words>1180</Words>
  <Characters>6285</Characters>
  <CharactersWithSpaces>7374</CharactersWithSpaces>
  <Paragraphs>107</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Marilyne MM. Morin</dc:creator>
  <dc:description/>
  <dc:language>fr-FR</dc:language>
  <cp:lastModifiedBy/>
  <dcterms:modified xsi:type="dcterms:W3CDTF">2025-02-21T07:51:40Z</dcterms:modified>
  <cp:revision>108</cp:revision>
  <dc:subject/>
  <dc:title>RTF Template</dc:title>
</cp:coreProperties>
</file>

<file path=docProps/custom.xml><?xml version="1.0" encoding="utf-8"?>
<Properties xmlns="http://schemas.openxmlformats.org/officeDocument/2006/custom-properties" xmlns:vt="http://schemas.openxmlformats.org/officeDocument/2006/docPropsVTypes"/>
</file>